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E" w:rsidRPr="00790945" w:rsidRDefault="00F56C51" w:rsidP="002B4B02">
      <w:pPr>
        <w:spacing w:after="0"/>
        <w:jc w:val="center"/>
        <w:rPr>
          <w:b/>
          <w:bCs/>
          <w:color w:val="1F497D"/>
          <w:sz w:val="24"/>
          <w:szCs w:val="24"/>
          <w:lang w:val="en-GB"/>
        </w:rPr>
      </w:pPr>
      <w:bookmarkStart w:id="0" w:name="_GoBack"/>
      <w:bookmarkEnd w:id="0"/>
      <w:r>
        <w:rPr>
          <w:rFonts w:cs="Times New Roman"/>
          <w:b/>
          <w:noProof/>
          <w:sz w:val="24"/>
          <w:szCs w:val="24"/>
          <w:lang w:eastAsia="en-MY"/>
        </w:rPr>
        <w:drawing>
          <wp:inline distT="0" distB="0" distL="0" distR="0" wp14:anchorId="10AACB46" wp14:editId="03450484">
            <wp:extent cx="5800506" cy="1927152"/>
            <wp:effectExtent l="0" t="0" r="0" b="0"/>
            <wp:docPr id="2" name="Picture 2" descr="C:\Users\farahd\AppData\Local\Microsoft\Windows\Temporary Internet Files\Content.Outlook\GYMANGIU\SC-WORLDBANK-PPP-2a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ahd\AppData\Local\Microsoft\Windows\Temporary Internet Files\Content.Outlook\GYMANGIU\SC-WORLDBANK-PPP-2a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58" cy="192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96" w:rsidRDefault="00F03796" w:rsidP="00F03796">
      <w:pPr>
        <w:spacing w:after="0"/>
        <w:ind w:left="-142"/>
        <w:jc w:val="center"/>
        <w:rPr>
          <w:rFonts w:cs="Times New Roman"/>
          <w:b/>
          <w:sz w:val="24"/>
          <w:szCs w:val="24"/>
          <w:lang w:val="en-US"/>
        </w:rPr>
      </w:pPr>
    </w:p>
    <w:p w:rsidR="00F03796" w:rsidRDefault="00223710" w:rsidP="00F03796">
      <w:pPr>
        <w:spacing w:after="0"/>
        <w:ind w:left="-142"/>
        <w:jc w:val="center"/>
        <w:rPr>
          <w:rFonts w:cs="Times New Roman"/>
          <w:b/>
          <w:sz w:val="24"/>
          <w:szCs w:val="24"/>
          <w:lang w:val="en-US"/>
        </w:rPr>
      </w:pPr>
      <w:r w:rsidRPr="00223710">
        <w:rPr>
          <w:rFonts w:cs="Times New Roman"/>
          <w:b/>
          <w:sz w:val="24"/>
          <w:szCs w:val="24"/>
          <w:lang w:val="en-US"/>
        </w:rPr>
        <w:t xml:space="preserve">Draft </w:t>
      </w:r>
      <w:proofErr w:type="spellStart"/>
      <w:r w:rsidR="00F56C51">
        <w:rPr>
          <w:rFonts w:cs="Times New Roman"/>
          <w:b/>
          <w:sz w:val="24"/>
          <w:szCs w:val="24"/>
          <w:lang w:val="en-US"/>
        </w:rPr>
        <w:t>Programme</w:t>
      </w:r>
      <w:proofErr w:type="spellEnd"/>
    </w:p>
    <w:p w:rsidR="006E056E" w:rsidRPr="00223710" w:rsidRDefault="006E056E" w:rsidP="00F03796">
      <w:pPr>
        <w:spacing w:after="0"/>
        <w:ind w:left="-142"/>
        <w:jc w:val="center"/>
        <w:rPr>
          <w:rFonts w:cs="Times New Roman"/>
          <w:b/>
          <w:sz w:val="24"/>
          <w:szCs w:val="24"/>
          <w:lang w:val="en-US"/>
        </w:rPr>
      </w:pPr>
    </w:p>
    <w:p w:rsidR="006E056E" w:rsidRDefault="006E056E" w:rsidP="00F03796">
      <w:pPr>
        <w:spacing w:after="0"/>
        <w:ind w:left="-142"/>
        <w:rPr>
          <w:rFonts w:cs="Times New Roman"/>
          <w:b/>
          <w:sz w:val="24"/>
          <w:szCs w:val="24"/>
          <w:lang w:val="en-US"/>
        </w:rPr>
      </w:pPr>
      <w:r w:rsidRPr="00006CA7">
        <w:rPr>
          <w:rFonts w:cs="Times New Roman"/>
          <w:b/>
          <w:sz w:val="24"/>
          <w:szCs w:val="24"/>
          <w:lang w:val="en-US"/>
        </w:rPr>
        <w:t>D</w:t>
      </w:r>
      <w:r w:rsidR="00F56C51">
        <w:rPr>
          <w:rFonts w:cs="Times New Roman"/>
          <w:b/>
          <w:sz w:val="24"/>
          <w:szCs w:val="24"/>
          <w:lang w:val="en-US"/>
        </w:rPr>
        <w:t>ay</w:t>
      </w:r>
      <w:r w:rsidRPr="00006CA7">
        <w:rPr>
          <w:rFonts w:cs="Times New Roman"/>
          <w:b/>
          <w:sz w:val="24"/>
          <w:szCs w:val="24"/>
          <w:lang w:val="en-US"/>
        </w:rPr>
        <w:t xml:space="preserve"> 1: </w:t>
      </w:r>
      <w:r w:rsidR="003A7B1B">
        <w:rPr>
          <w:rFonts w:cs="Times New Roman"/>
          <w:b/>
          <w:sz w:val="24"/>
          <w:szCs w:val="24"/>
          <w:lang w:val="en-US"/>
        </w:rPr>
        <w:t xml:space="preserve">Tuesday, 14 May 2018 </w:t>
      </w:r>
    </w:p>
    <w:p w:rsidR="00F56C51" w:rsidRDefault="00F56C51">
      <w:pPr>
        <w:spacing w:after="0"/>
        <w:ind w:left="-142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9.00 am – 5.15 pm</w:t>
      </w:r>
    </w:p>
    <w:p w:rsidR="00F56C51" w:rsidRPr="00006CA7" w:rsidRDefault="00F56C51">
      <w:pPr>
        <w:spacing w:after="0"/>
        <w:ind w:left="-142"/>
        <w:rPr>
          <w:rFonts w:cs="Times New Roman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020663" w:rsidRPr="002621FD" w:rsidTr="00020663">
        <w:trPr>
          <w:trHeight w:val="485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020663" w:rsidRPr="002621FD" w:rsidRDefault="00020663" w:rsidP="00061370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b/>
                <w:lang w:val="en-US"/>
              </w:rPr>
              <w:t>Agenda</w:t>
            </w:r>
          </w:p>
        </w:tc>
      </w:tr>
      <w:tr w:rsidR="00020663" w:rsidRPr="002621FD" w:rsidTr="00020663">
        <w:trPr>
          <w:trHeight w:val="1884"/>
        </w:trPr>
        <w:tc>
          <w:tcPr>
            <w:tcW w:w="5000" w:type="pct"/>
          </w:tcPr>
          <w:p w:rsidR="00020663" w:rsidRDefault="00020663" w:rsidP="00735D9F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  <w:r w:rsidRPr="00153C6B">
              <w:rPr>
                <w:rFonts w:ascii="Calibri" w:hAnsi="Calibri"/>
                <w:b/>
                <w:bCs/>
                <w:lang w:val="en-GB"/>
              </w:rPr>
              <w:t xml:space="preserve">SESSION 1: 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OVERVIEW OF ISLAMIC GREEN FINANCE DEVELOPMENT </w:t>
            </w:r>
          </w:p>
          <w:p w:rsidR="00020663" w:rsidRPr="00153C6B" w:rsidRDefault="00020663" w:rsidP="00747153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  <w:p w:rsidR="00020663" w:rsidRPr="00DA4E8A" w:rsidRDefault="00020663" w:rsidP="00F56C51">
            <w:pPr>
              <w:spacing w:after="200"/>
              <w:jc w:val="both"/>
              <w:rPr>
                <w:rFonts w:ascii="Calibri" w:hAnsi="Calibri"/>
                <w:b/>
                <w:bCs/>
                <w:lang w:val="en-GB"/>
              </w:rPr>
            </w:pPr>
            <w:r w:rsidRPr="00DA4E8A">
              <w:rPr>
                <w:rFonts w:ascii="Calibri" w:hAnsi="Calibri"/>
                <w:bCs/>
                <w:lang w:val="en-GB"/>
              </w:rPr>
              <w:t xml:space="preserve">The session will set the stage by providing an overview of green finance instruments currently in use around the world (e.g. green funds, bonds, </w:t>
            </w:r>
            <w:proofErr w:type="gramStart"/>
            <w:r w:rsidRPr="00DA4E8A">
              <w:rPr>
                <w:rFonts w:ascii="Calibri" w:hAnsi="Calibri"/>
                <w:bCs/>
                <w:lang w:val="en-GB"/>
              </w:rPr>
              <w:t>equit</w:t>
            </w:r>
            <w:r w:rsidR="00F56C51" w:rsidRPr="00DA4E8A">
              <w:rPr>
                <w:rFonts w:ascii="Calibri" w:hAnsi="Calibri"/>
                <w:bCs/>
                <w:lang w:val="en-GB"/>
              </w:rPr>
              <w:t>ies</w:t>
            </w:r>
            <w:proofErr w:type="gramEnd"/>
            <w:r w:rsidRPr="00DA4E8A">
              <w:rPr>
                <w:rFonts w:ascii="Calibri" w:hAnsi="Calibri"/>
                <w:bCs/>
                <w:lang w:val="en-GB"/>
              </w:rPr>
              <w:t xml:space="preserve">), the global trend of green bond markets and demand for large infrastructure green projects. This will be followed by a discussion about the links between Islamic finance and green finance as well as innovative Islamic instruments as green </w:t>
            </w:r>
            <w:proofErr w:type="spellStart"/>
            <w:r w:rsidRPr="00DA4E8A">
              <w:rPr>
                <w:rFonts w:ascii="Calibri" w:hAnsi="Calibri"/>
                <w:bCs/>
                <w:lang w:val="en-GB"/>
              </w:rPr>
              <w:t>sukuk</w:t>
            </w:r>
            <w:proofErr w:type="spellEnd"/>
            <w:r w:rsidRPr="00DA4E8A">
              <w:rPr>
                <w:rFonts w:ascii="Calibri" w:hAnsi="Calibri"/>
                <w:bCs/>
                <w:lang w:val="en-GB"/>
              </w:rPr>
              <w:t>.</w:t>
            </w:r>
          </w:p>
        </w:tc>
      </w:tr>
      <w:tr w:rsidR="00020663" w:rsidRPr="00657CB3" w:rsidTr="00020663">
        <w:trPr>
          <w:trHeight w:val="1046"/>
        </w:trPr>
        <w:tc>
          <w:tcPr>
            <w:tcW w:w="5000" w:type="pct"/>
          </w:tcPr>
          <w:p w:rsidR="00020663" w:rsidRPr="00A025A5" w:rsidRDefault="00020663" w:rsidP="00735D9F">
            <w:pPr>
              <w:jc w:val="both"/>
              <w:rPr>
                <w:rFonts w:cs="Times New Roman"/>
                <w:b/>
                <w:lang w:val="en-US"/>
              </w:rPr>
            </w:pPr>
            <w:r w:rsidRPr="00A025A5">
              <w:rPr>
                <w:rFonts w:cs="Times New Roman"/>
                <w:b/>
                <w:lang w:val="en-US"/>
              </w:rPr>
              <w:t xml:space="preserve">SESSION </w:t>
            </w:r>
            <w:r>
              <w:rPr>
                <w:rFonts w:cs="Times New Roman"/>
                <w:b/>
                <w:lang w:val="en-US"/>
              </w:rPr>
              <w:t>2</w:t>
            </w:r>
            <w:r w:rsidRPr="00A025A5">
              <w:rPr>
                <w:rFonts w:cs="Times New Roman"/>
                <w:b/>
                <w:lang w:val="en-US"/>
              </w:rPr>
              <w:t xml:space="preserve">: TOWARDS AN ENABLING ENVIRONMENT FOR </w:t>
            </w:r>
            <w:r>
              <w:rPr>
                <w:rFonts w:cs="Times New Roman"/>
                <w:b/>
                <w:lang w:val="en-US"/>
              </w:rPr>
              <w:t xml:space="preserve">ISLAMIC </w:t>
            </w:r>
            <w:r w:rsidRPr="00A025A5">
              <w:rPr>
                <w:rFonts w:cs="Times New Roman"/>
                <w:b/>
                <w:lang w:val="en-US"/>
              </w:rPr>
              <w:t>GREEN FINANCE: DEVELOPING GUIDELINES &amp; STANDARDS</w:t>
            </w:r>
          </w:p>
          <w:p w:rsidR="00020663" w:rsidRPr="00A025A5" w:rsidRDefault="00020663" w:rsidP="00735D9F">
            <w:pPr>
              <w:jc w:val="both"/>
              <w:rPr>
                <w:rFonts w:cs="Times New Roman"/>
                <w:lang w:val="en-US"/>
              </w:rPr>
            </w:pPr>
          </w:p>
          <w:p w:rsidR="00020663" w:rsidRPr="00DA4E8A" w:rsidRDefault="00020663" w:rsidP="00735D9F">
            <w:pPr>
              <w:jc w:val="both"/>
              <w:rPr>
                <w:rFonts w:cstheme="minorHAnsi"/>
                <w:lang w:val="en-US"/>
              </w:rPr>
            </w:pPr>
            <w:r w:rsidRPr="00DA4E8A">
              <w:rPr>
                <w:rFonts w:cs="Times New Roman"/>
                <w:lang w:val="en-US"/>
              </w:rPr>
              <w:t>This session will focus on the enabling environment for Islamic green finance, including the role of international institutions and regulatory authorities in establishing the required ecosystem, particularly on the guidelines/framework for issuing gr</w:t>
            </w:r>
            <w:r w:rsidRPr="00DA4E8A">
              <w:rPr>
                <w:rFonts w:cstheme="minorHAnsi"/>
                <w:lang w:val="en-US"/>
              </w:rPr>
              <w:t>een financing projects. This session will also discuss how international institutions can build a platform for cooperation between players involved in green financing.</w:t>
            </w:r>
          </w:p>
          <w:p w:rsidR="00020663" w:rsidRPr="00C67C2D" w:rsidRDefault="00020663" w:rsidP="00020663">
            <w:pPr>
              <w:pStyle w:val="ListParagraph"/>
              <w:ind w:left="360"/>
              <w:jc w:val="both"/>
              <w:rPr>
                <w:rFonts w:cs="Times New Roman"/>
                <w:lang w:val="en-US"/>
              </w:rPr>
            </w:pPr>
          </w:p>
        </w:tc>
      </w:tr>
      <w:tr w:rsidR="00020663" w:rsidRPr="00657CB3" w:rsidTr="00020663">
        <w:trPr>
          <w:trHeight w:val="458"/>
        </w:trPr>
        <w:tc>
          <w:tcPr>
            <w:tcW w:w="5000" w:type="pct"/>
          </w:tcPr>
          <w:p w:rsidR="00020663" w:rsidRPr="00A025A5" w:rsidRDefault="00020663" w:rsidP="00735D9F">
            <w:pPr>
              <w:jc w:val="both"/>
              <w:rPr>
                <w:rFonts w:cs="Times New Roman"/>
                <w:b/>
                <w:color w:val="000000"/>
                <w:lang w:val="en-US"/>
              </w:rPr>
            </w:pPr>
            <w:r>
              <w:rPr>
                <w:rFonts w:cs="Times New Roman"/>
                <w:b/>
                <w:color w:val="000000"/>
                <w:lang w:val="en-US"/>
              </w:rPr>
              <w:t xml:space="preserve">SESSION 3: </w:t>
            </w:r>
            <w:r w:rsidRPr="00A025A5">
              <w:rPr>
                <w:rFonts w:cs="Times New Roman"/>
                <w:b/>
                <w:color w:val="000000"/>
                <w:lang w:val="en-US"/>
              </w:rPr>
              <w:t xml:space="preserve">DEVELOPING A SUCCESSFUL GREEN SUKUK PROGRAM: OPPORTUNITIES AND CHALLENGES </w:t>
            </w:r>
          </w:p>
          <w:p w:rsidR="00020663" w:rsidRPr="00A025A5" w:rsidRDefault="00020663" w:rsidP="00735D9F">
            <w:pPr>
              <w:jc w:val="both"/>
              <w:rPr>
                <w:rFonts w:cs="Times New Roman"/>
                <w:color w:val="000000"/>
                <w:lang w:val="en-US"/>
              </w:rPr>
            </w:pPr>
          </w:p>
          <w:p w:rsidR="00020663" w:rsidRPr="00DA4E8A" w:rsidRDefault="00020663" w:rsidP="00735D9F">
            <w:pPr>
              <w:jc w:val="both"/>
              <w:rPr>
                <w:rFonts w:cs="Times New Roman"/>
                <w:color w:val="000000"/>
                <w:lang w:val="en-US"/>
              </w:rPr>
            </w:pPr>
            <w:r w:rsidRPr="00DA4E8A">
              <w:rPr>
                <w:rFonts w:cs="Times New Roman"/>
                <w:color w:val="000000"/>
                <w:lang w:val="en-US"/>
              </w:rPr>
              <w:t xml:space="preserve">This session will assess the current state of the green </w:t>
            </w:r>
            <w:proofErr w:type="spellStart"/>
            <w:r w:rsidRPr="00DA4E8A">
              <w:rPr>
                <w:rFonts w:cs="Times New Roman"/>
                <w:color w:val="000000"/>
                <w:lang w:val="en-US"/>
              </w:rPr>
              <w:t>sukuk</w:t>
            </w:r>
            <w:proofErr w:type="spellEnd"/>
            <w:r w:rsidRPr="00DA4E8A">
              <w:rPr>
                <w:rFonts w:cs="Times New Roman"/>
                <w:color w:val="000000"/>
                <w:lang w:val="en-US"/>
              </w:rPr>
              <w:t xml:space="preserve"> market (sovereign and corporate), the potential for growth and the challenges that need to be addressed in order to </w:t>
            </w:r>
            <w:proofErr w:type="spellStart"/>
            <w:r w:rsidRPr="00DA4E8A">
              <w:rPr>
                <w:rFonts w:cs="Times New Roman"/>
                <w:color w:val="000000"/>
                <w:lang w:val="en-US"/>
              </w:rPr>
              <w:t>fulfil</w:t>
            </w:r>
            <w:proofErr w:type="spellEnd"/>
            <w:r w:rsidRPr="00DA4E8A">
              <w:rPr>
                <w:rFonts w:cs="Times New Roman"/>
                <w:color w:val="000000"/>
                <w:lang w:val="en-US"/>
              </w:rPr>
              <w:t xml:space="preserve"> its potential. </w:t>
            </w:r>
            <w:r w:rsidR="00F56C51" w:rsidRPr="00DA4E8A">
              <w:rPr>
                <w:rFonts w:cs="Times New Roman"/>
                <w:color w:val="000000"/>
                <w:lang w:val="en-US"/>
              </w:rPr>
              <w:t>S</w:t>
            </w:r>
            <w:r w:rsidRPr="00DA4E8A">
              <w:rPr>
                <w:rFonts w:cs="Times New Roman"/>
                <w:color w:val="000000"/>
                <w:lang w:val="en-US"/>
              </w:rPr>
              <w:t xml:space="preserve">econd opinion providers play a significant role in preserving the credibility of this asset class. The speakers will </w:t>
            </w:r>
            <w:r w:rsidR="00F56C51" w:rsidRPr="00DA4E8A">
              <w:rPr>
                <w:rFonts w:cs="Times New Roman"/>
                <w:color w:val="000000"/>
                <w:lang w:val="en-US"/>
              </w:rPr>
              <w:t>review</w:t>
            </w:r>
            <w:r w:rsidRPr="00DA4E8A">
              <w:rPr>
                <w:rFonts w:cs="Times New Roman"/>
                <w:color w:val="000000"/>
                <w:lang w:val="en-US"/>
              </w:rPr>
              <w:t xml:space="preserve"> the current practice </w:t>
            </w:r>
            <w:r w:rsidR="00F56C51" w:rsidRPr="00DA4E8A">
              <w:rPr>
                <w:rFonts w:cs="Times New Roman"/>
                <w:color w:val="000000"/>
                <w:lang w:val="en-US"/>
              </w:rPr>
              <w:t>in</w:t>
            </w:r>
            <w:r w:rsidRPr="00DA4E8A">
              <w:rPr>
                <w:rFonts w:cs="Times New Roman"/>
                <w:color w:val="000000"/>
                <w:lang w:val="en-US"/>
              </w:rPr>
              <w:t xml:space="preserve"> assess</w:t>
            </w:r>
            <w:r w:rsidR="00F56C51" w:rsidRPr="00DA4E8A">
              <w:rPr>
                <w:rFonts w:cs="Times New Roman"/>
                <w:color w:val="000000"/>
                <w:lang w:val="en-US"/>
              </w:rPr>
              <w:t>ing</w:t>
            </w:r>
            <w:r w:rsidRPr="00DA4E8A">
              <w:rPr>
                <w:rFonts w:cs="Times New Roman"/>
                <w:color w:val="000000"/>
                <w:lang w:val="en-US"/>
              </w:rPr>
              <w:t xml:space="preserve"> the ‘gree</w:t>
            </w:r>
            <w:r w:rsidR="00F56C51" w:rsidRPr="00DA4E8A">
              <w:rPr>
                <w:rFonts w:cs="Times New Roman"/>
                <w:color w:val="000000"/>
                <w:lang w:val="en-US"/>
              </w:rPr>
              <w:t>n</w:t>
            </w:r>
            <w:r w:rsidRPr="00DA4E8A">
              <w:rPr>
                <w:rFonts w:cs="Times New Roman"/>
                <w:color w:val="000000"/>
                <w:lang w:val="en-US"/>
              </w:rPr>
              <w:t xml:space="preserve">ness’ of the project and the </w:t>
            </w:r>
            <w:proofErr w:type="spellStart"/>
            <w:r w:rsidRPr="00DA4E8A">
              <w:rPr>
                <w:rFonts w:cs="Times New Roman"/>
                <w:color w:val="000000"/>
                <w:lang w:val="en-US"/>
              </w:rPr>
              <w:t>Shariah</w:t>
            </w:r>
            <w:proofErr w:type="spellEnd"/>
            <w:r w:rsidRPr="00DA4E8A">
              <w:rPr>
                <w:rFonts w:cs="Times New Roman"/>
                <w:color w:val="000000"/>
                <w:lang w:val="en-US"/>
              </w:rPr>
              <w:t xml:space="preserve"> aspect</w:t>
            </w:r>
            <w:r w:rsidR="00F56C51" w:rsidRPr="00DA4E8A">
              <w:rPr>
                <w:rFonts w:cs="Times New Roman"/>
                <w:color w:val="000000"/>
                <w:lang w:val="en-US"/>
              </w:rPr>
              <w:t>s</w:t>
            </w:r>
            <w:r w:rsidRPr="00DA4E8A">
              <w:rPr>
                <w:rFonts w:cs="Times New Roman"/>
                <w:color w:val="000000"/>
                <w:lang w:val="en-US"/>
              </w:rPr>
              <w:t xml:space="preserve"> of the green </w:t>
            </w:r>
            <w:proofErr w:type="spellStart"/>
            <w:r w:rsidRPr="00DA4E8A">
              <w:rPr>
                <w:rFonts w:cs="Times New Roman"/>
                <w:color w:val="000000"/>
                <w:lang w:val="en-US"/>
              </w:rPr>
              <w:t>sukuk</w:t>
            </w:r>
            <w:proofErr w:type="spellEnd"/>
            <w:r w:rsidRPr="00DA4E8A">
              <w:rPr>
                <w:rFonts w:cs="Times New Roman"/>
                <w:color w:val="000000"/>
                <w:lang w:val="en-US"/>
              </w:rPr>
              <w:t>.</w:t>
            </w:r>
          </w:p>
          <w:p w:rsidR="00020663" w:rsidRPr="00020663" w:rsidRDefault="00020663" w:rsidP="00020663">
            <w:pPr>
              <w:jc w:val="both"/>
              <w:rPr>
                <w:b/>
                <w:lang w:val="en-US"/>
              </w:rPr>
            </w:pPr>
          </w:p>
        </w:tc>
      </w:tr>
      <w:tr w:rsidR="00020663" w:rsidRPr="00657CB3" w:rsidTr="00020663">
        <w:trPr>
          <w:trHeight w:val="615"/>
        </w:trPr>
        <w:tc>
          <w:tcPr>
            <w:tcW w:w="5000" w:type="pct"/>
          </w:tcPr>
          <w:p w:rsidR="00020663" w:rsidRPr="00A025A5" w:rsidRDefault="00020663" w:rsidP="00735D9F">
            <w:pPr>
              <w:jc w:val="both"/>
              <w:rPr>
                <w:rFonts w:cs="Times New Roman"/>
                <w:b/>
                <w:lang w:val="en-US"/>
              </w:rPr>
            </w:pPr>
            <w:r w:rsidRPr="00A025A5">
              <w:rPr>
                <w:rFonts w:cs="Times New Roman"/>
                <w:b/>
                <w:lang w:val="en-US"/>
              </w:rPr>
              <w:t xml:space="preserve">SESSION </w:t>
            </w:r>
            <w:r>
              <w:rPr>
                <w:rFonts w:cs="Times New Roman"/>
                <w:b/>
                <w:lang w:val="en-US"/>
              </w:rPr>
              <w:t>4</w:t>
            </w:r>
            <w:r w:rsidRPr="00A025A5">
              <w:rPr>
                <w:rFonts w:cs="Times New Roman"/>
                <w:b/>
                <w:lang w:val="en-US"/>
              </w:rPr>
              <w:t>: CASE STUD</w:t>
            </w:r>
            <w:r>
              <w:rPr>
                <w:rFonts w:cs="Times New Roman"/>
                <w:b/>
                <w:lang w:val="en-US"/>
              </w:rPr>
              <w:t xml:space="preserve">IES ON </w:t>
            </w:r>
            <w:r w:rsidRPr="00A025A5">
              <w:rPr>
                <w:rFonts w:cs="Times New Roman"/>
                <w:b/>
                <w:lang w:val="en-US"/>
              </w:rPr>
              <w:t xml:space="preserve">GREEN SUKUK </w:t>
            </w:r>
          </w:p>
          <w:p w:rsidR="00020663" w:rsidRDefault="00020663" w:rsidP="00735D9F">
            <w:pPr>
              <w:jc w:val="both"/>
              <w:rPr>
                <w:rFonts w:cs="Times New Roman"/>
                <w:i/>
                <w:lang w:val="en-US"/>
              </w:rPr>
            </w:pPr>
          </w:p>
          <w:p w:rsidR="00F03796" w:rsidRPr="00DA4E8A" w:rsidRDefault="00020663" w:rsidP="00DA4E8A">
            <w:pPr>
              <w:jc w:val="both"/>
              <w:rPr>
                <w:rFonts w:cs="Times New Roman"/>
                <w:lang w:val="en-US"/>
              </w:rPr>
            </w:pPr>
            <w:r w:rsidRPr="00DA4E8A">
              <w:rPr>
                <w:rFonts w:cs="Times New Roman"/>
                <w:lang w:val="en-US"/>
              </w:rPr>
              <w:t xml:space="preserve">This session will present several case studies on how </w:t>
            </w:r>
            <w:proofErr w:type="spellStart"/>
            <w:r w:rsidRPr="00DA4E8A">
              <w:rPr>
                <w:rFonts w:cs="Times New Roman"/>
                <w:lang w:val="en-US"/>
              </w:rPr>
              <w:t>sukuk</w:t>
            </w:r>
            <w:proofErr w:type="spellEnd"/>
            <w:r w:rsidRPr="00DA4E8A">
              <w:rPr>
                <w:rFonts w:cs="Times New Roman"/>
                <w:lang w:val="en-US"/>
              </w:rPr>
              <w:t xml:space="preserve"> has been used to support certified green projects. It will highlight key aspects, facilitating factors, challenges faced and solutions provided</w:t>
            </w:r>
            <w:r w:rsidR="00F56C51" w:rsidRPr="00DA4E8A">
              <w:rPr>
                <w:rFonts w:cs="Times New Roman"/>
                <w:lang w:val="en-US"/>
              </w:rPr>
              <w:t>,</w:t>
            </w:r>
            <w:r w:rsidRPr="00DA4E8A">
              <w:rPr>
                <w:rFonts w:cs="Times New Roman"/>
                <w:lang w:val="en-US"/>
              </w:rPr>
              <w:t xml:space="preserve"> </w:t>
            </w:r>
            <w:proofErr w:type="gramStart"/>
            <w:r w:rsidRPr="00DA4E8A">
              <w:rPr>
                <w:rFonts w:cs="Times New Roman"/>
                <w:lang w:val="en-US"/>
              </w:rPr>
              <w:t>and  experience</w:t>
            </w:r>
            <w:r w:rsidR="00F56C51" w:rsidRPr="00DA4E8A">
              <w:rPr>
                <w:rFonts w:cs="Times New Roman"/>
                <w:lang w:val="en-US"/>
              </w:rPr>
              <w:t>s</w:t>
            </w:r>
            <w:proofErr w:type="gramEnd"/>
            <w:r w:rsidRPr="00DA4E8A">
              <w:rPr>
                <w:rFonts w:cs="Times New Roman"/>
                <w:lang w:val="en-US"/>
              </w:rPr>
              <w:t xml:space="preserve"> in using </w:t>
            </w:r>
            <w:proofErr w:type="spellStart"/>
            <w:r w:rsidRPr="00DA4E8A">
              <w:rPr>
                <w:rFonts w:cs="Times New Roman"/>
                <w:lang w:val="en-US"/>
              </w:rPr>
              <w:t>sukuk</w:t>
            </w:r>
            <w:proofErr w:type="spellEnd"/>
            <w:r w:rsidRPr="00DA4E8A">
              <w:rPr>
                <w:rFonts w:cs="Times New Roman"/>
                <w:lang w:val="en-US"/>
              </w:rPr>
              <w:t xml:space="preserve">. </w:t>
            </w:r>
          </w:p>
          <w:p w:rsidR="00020663" w:rsidRPr="00020663" w:rsidRDefault="00020663" w:rsidP="00DA4E8A">
            <w:pPr>
              <w:jc w:val="both"/>
              <w:rPr>
                <w:lang w:val="en-US"/>
              </w:rPr>
            </w:pPr>
          </w:p>
        </w:tc>
      </w:tr>
    </w:tbl>
    <w:p w:rsidR="006E056E" w:rsidRDefault="006E056E" w:rsidP="00F56C51">
      <w:pPr>
        <w:spacing w:after="0"/>
        <w:rPr>
          <w:rFonts w:cs="Times New Roman"/>
          <w:b/>
          <w:sz w:val="24"/>
          <w:szCs w:val="24"/>
          <w:lang w:val="en-US"/>
        </w:rPr>
      </w:pPr>
      <w:r w:rsidRPr="00006CA7">
        <w:rPr>
          <w:rFonts w:cs="Times New Roman"/>
          <w:b/>
          <w:sz w:val="24"/>
          <w:szCs w:val="24"/>
          <w:lang w:val="en-US"/>
        </w:rPr>
        <w:lastRenderedPageBreak/>
        <w:t xml:space="preserve">Day 2: </w:t>
      </w:r>
      <w:r w:rsidR="00324D1A">
        <w:rPr>
          <w:rFonts w:cs="Times New Roman"/>
          <w:b/>
          <w:sz w:val="24"/>
          <w:szCs w:val="24"/>
          <w:lang w:val="en-US"/>
        </w:rPr>
        <w:t>Wednesday, 15 May 2018</w:t>
      </w:r>
    </w:p>
    <w:p w:rsidR="00F56C51" w:rsidRDefault="006B2FE2" w:rsidP="00F56C51">
      <w:pPr>
        <w:spacing w:after="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9.00</w:t>
      </w:r>
      <w:r w:rsidR="00F56C51">
        <w:rPr>
          <w:rFonts w:cs="Times New Roman"/>
          <w:b/>
          <w:sz w:val="24"/>
          <w:szCs w:val="24"/>
          <w:lang w:val="en-US"/>
        </w:rPr>
        <w:t xml:space="preserve"> am – 1.30 pm</w:t>
      </w:r>
    </w:p>
    <w:p w:rsidR="00F56C51" w:rsidRPr="00006CA7" w:rsidRDefault="00F56C51" w:rsidP="00F56C51">
      <w:pPr>
        <w:spacing w:after="0"/>
        <w:rPr>
          <w:rFonts w:cs="Times New Roman"/>
          <w:b/>
          <w:sz w:val="24"/>
          <w:szCs w:val="24"/>
          <w:lang w:val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020663" w:rsidRPr="00CB0224" w:rsidTr="00020663">
        <w:trPr>
          <w:trHeight w:val="4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020663" w:rsidRPr="00061370" w:rsidRDefault="00020663" w:rsidP="00061370">
            <w:pPr>
              <w:jc w:val="center"/>
              <w:rPr>
                <w:b/>
                <w:lang w:val="en-US"/>
              </w:rPr>
            </w:pPr>
            <w:r w:rsidRPr="00A025A5">
              <w:rPr>
                <w:b/>
                <w:lang w:val="en-US"/>
              </w:rPr>
              <w:t>Agenda</w:t>
            </w:r>
          </w:p>
        </w:tc>
      </w:tr>
      <w:tr w:rsidR="00055AE3" w:rsidRPr="00657CB3" w:rsidTr="00435AEC">
        <w:trPr>
          <w:trHeight w:val="601"/>
        </w:trPr>
        <w:tc>
          <w:tcPr>
            <w:tcW w:w="5000" w:type="pct"/>
            <w:shd w:val="clear" w:color="auto" w:fill="auto"/>
          </w:tcPr>
          <w:p w:rsidR="00055AE3" w:rsidRDefault="006E054B" w:rsidP="00735D9F">
            <w:pPr>
              <w:jc w:val="both"/>
              <w:rPr>
                <w:rFonts w:cs="Times New Roman"/>
                <w:b/>
                <w:color w:val="000000" w:themeColor="text1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lang w:val="en-US"/>
              </w:rPr>
              <w:t>SESSION 5 –</w:t>
            </w:r>
            <w:r w:rsidR="00C9243B" w:rsidRPr="00DF456F">
              <w:rPr>
                <w:rFonts w:cs="Times New Roman"/>
                <w:b/>
                <w:color w:val="000000" w:themeColor="text1"/>
                <w:lang w:val="en-US"/>
              </w:rPr>
              <w:t xml:space="preserve"> A </w:t>
            </w:r>
            <w:r w:rsidR="00C9243B">
              <w:rPr>
                <w:rFonts w:cs="Times New Roman"/>
                <w:b/>
                <w:color w:val="000000" w:themeColor="text1"/>
                <w:lang w:val="en-US"/>
              </w:rPr>
              <w:t>DIALOGUE ON SUSTAINABLE FINANCE</w:t>
            </w:r>
          </w:p>
        </w:tc>
      </w:tr>
      <w:tr w:rsidR="00020663" w:rsidRPr="00657CB3" w:rsidTr="00F03796">
        <w:trPr>
          <w:trHeight w:val="1620"/>
        </w:trPr>
        <w:tc>
          <w:tcPr>
            <w:tcW w:w="5000" w:type="pct"/>
          </w:tcPr>
          <w:p w:rsidR="00020663" w:rsidRPr="00153C6B" w:rsidRDefault="00020663" w:rsidP="00735D9F">
            <w:pPr>
              <w:jc w:val="both"/>
              <w:rPr>
                <w:rFonts w:cs="Times New Roman"/>
                <w:b/>
                <w:color w:val="000000" w:themeColor="text1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lang w:val="en-US"/>
              </w:rPr>
              <w:t xml:space="preserve">SESSION 6 - </w:t>
            </w:r>
            <w:r w:rsidRPr="00153C6B">
              <w:rPr>
                <w:rFonts w:cs="Times New Roman"/>
                <w:b/>
                <w:color w:val="000000" w:themeColor="text1"/>
                <w:lang w:val="en-US"/>
              </w:rPr>
              <w:t xml:space="preserve">ACCELERATING GROWTH IN THE GREEN SECTOR: POLICY AND INCENTIVES FOR GREEN PROJECTS </w:t>
            </w:r>
          </w:p>
          <w:p w:rsidR="00020663" w:rsidRPr="00153C6B" w:rsidRDefault="00020663" w:rsidP="00735D9F">
            <w:pPr>
              <w:jc w:val="both"/>
              <w:rPr>
                <w:rFonts w:cs="Times New Roman"/>
                <w:b/>
                <w:color w:val="000000" w:themeColor="text1"/>
                <w:lang w:val="en-US"/>
              </w:rPr>
            </w:pPr>
          </w:p>
          <w:p w:rsidR="00F03796" w:rsidRDefault="00020663" w:rsidP="00020663">
            <w:pPr>
              <w:jc w:val="both"/>
              <w:rPr>
                <w:rFonts w:cs="Times New Roman"/>
                <w:lang w:val="en-US"/>
              </w:rPr>
            </w:pPr>
            <w:r w:rsidRPr="00DA4E8A">
              <w:rPr>
                <w:rFonts w:cs="Times New Roman"/>
                <w:color w:val="000000" w:themeColor="text1"/>
                <w:lang w:val="en-US"/>
              </w:rPr>
              <w:t xml:space="preserve">This session will focus on initiatives </w:t>
            </w:r>
            <w:r w:rsidR="00E124CA" w:rsidRPr="00DA4E8A">
              <w:rPr>
                <w:rFonts w:cs="Times New Roman"/>
                <w:color w:val="000000" w:themeColor="text1"/>
                <w:lang w:val="en-US"/>
              </w:rPr>
              <w:t>to</w:t>
            </w:r>
            <w:r w:rsidRPr="00DA4E8A">
              <w:rPr>
                <w:rFonts w:cs="Times New Roman"/>
                <w:color w:val="000000" w:themeColor="text1"/>
                <w:lang w:val="en-US"/>
              </w:rPr>
              <w:t xml:space="preserve"> support green projects. Speakers </w:t>
            </w:r>
            <w:r w:rsidR="00E124CA" w:rsidRPr="00DA4E8A">
              <w:rPr>
                <w:rFonts w:cs="Times New Roman"/>
                <w:color w:val="000000" w:themeColor="text1"/>
                <w:lang w:val="en-US"/>
              </w:rPr>
              <w:t xml:space="preserve">across the globe </w:t>
            </w:r>
            <w:r w:rsidRPr="00DA4E8A">
              <w:rPr>
                <w:rFonts w:cs="Times New Roman"/>
                <w:color w:val="000000" w:themeColor="text1"/>
                <w:lang w:val="en-US"/>
              </w:rPr>
              <w:t xml:space="preserve">will share approaches </w:t>
            </w:r>
            <w:proofErr w:type="gramStart"/>
            <w:r w:rsidRPr="00DA4E8A">
              <w:rPr>
                <w:rFonts w:cs="Times New Roman"/>
                <w:color w:val="000000" w:themeColor="text1"/>
                <w:lang w:val="en-US"/>
              </w:rPr>
              <w:t>and  experience</w:t>
            </w:r>
            <w:r w:rsidR="00E124CA" w:rsidRPr="00DA4E8A">
              <w:rPr>
                <w:rFonts w:cs="Times New Roman"/>
                <w:color w:val="000000" w:themeColor="text1"/>
                <w:lang w:val="en-US"/>
              </w:rPr>
              <w:t>s</w:t>
            </w:r>
            <w:proofErr w:type="gramEnd"/>
            <w:r w:rsidRPr="00DA4E8A">
              <w:rPr>
                <w:rFonts w:cs="Times New Roman"/>
                <w:color w:val="000000" w:themeColor="text1"/>
                <w:lang w:val="en-US"/>
              </w:rPr>
              <w:t xml:space="preserve"> in the design and use of different policies and incentives.  </w:t>
            </w:r>
            <w:r w:rsidRPr="00DA4E8A">
              <w:rPr>
                <w:rFonts w:cs="Times New Roman"/>
                <w:lang w:val="en-US"/>
              </w:rPr>
              <w:t xml:space="preserve"> </w:t>
            </w:r>
          </w:p>
          <w:p w:rsidR="00020663" w:rsidRPr="00F03796" w:rsidRDefault="00020663" w:rsidP="00DA4E8A">
            <w:pPr>
              <w:jc w:val="both"/>
              <w:rPr>
                <w:rFonts w:cs="Times New Roman"/>
                <w:color w:val="C0504D" w:themeColor="accent2"/>
                <w:lang w:val="en-US"/>
              </w:rPr>
            </w:pPr>
          </w:p>
        </w:tc>
      </w:tr>
      <w:tr w:rsidR="00020663" w:rsidRPr="00657CB3" w:rsidTr="00020663">
        <w:trPr>
          <w:trHeight w:val="487"/>
        </w:trPr>
        <w:tc>
          <w:tcPr>
            <w:tcW w:w="5000" w:type="pct"/>
          </w:tcPr>
          <w:p w:rsidR="00020663" w:rsidRPr="00153C6B" w:rsidRDefault="00020663" w:rsidP="00735D9F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153C6B">
              <w:rPr>
                <w:rFonts w:cs="Times New Roman"/>
                <w:b/>
                <w:color w:val="000000" w:themeColor="text1"/>
                <w:lang w:val="en-US"/>
              </w:rPr>
              <w:t>SESSION 7 – ENGAGING THE PRIVATE SECTOR: ROLE OF INSTITUTIONAL INVESTORS IN</w:t>
            </w:r>
            <w:r>
              <w:rPr>
                <w:rFonts w:cs="Times New Roman"/>
                <w:b/>
                <w:color w:val="000000" w:themeColor="text1"/>
                <w:lang w:val="en-US"/>
              </w:rPr>
              <w:t xml:space="preserve"> ISLAMIC</w:t>
            </w:r>
            <w:r w:rsidRPr="00153C6B">
              <w:rPr>
                <w:rFonts w:cs="Times New Roman"/>
                <w:b/>
                <w:color w:val="000000" w:themeColor="text1"/>
                <w:lang w:val="en-US"/>
              </w:rPr>
              <w:t xml:space="preserve"> GREEN FINANCE</w:t>
            </w:r>
          </w:p>
          <w:p w:rsidR="00020663" w:rsidRDefault="00020663" w:rsidP="00735D9F">
            <w:pPr>
              <w:jc w:val="both"/>
              <w:rPr>
                <w:rFonts w:cs="Arial"/>
                <w:i/>
                <w:color w:val="000000" w:themeColor="text1"/>
                <w:shd w:val="clear" w:color="auto" w:fill="FFFFFF"/>
                <w:lang w:val="en-GB"/>
              </w:rPr>
            </w:pPr>
          </w:p>
          <w:p w:rsidR="00020663" w:rsidRPr="00DA4E8A" w:rsidRDefault="00E124CA" w:rsidP="00735D9F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en-GB"/>
              </w:rPr>
            </w:pPr>
            <w:r w:rsidRPr="00DA4E8A">
              <w:rPr>
                <w:rFonts w:cs="Arial"/>
                <w:color w:val="000000" w:themeColor="text1"/>
                <w:shd w:val="clear" w:color="auto" w:fill="FFFFFF"/>
                <w:lang w:val="en-GB"/>
              </w:rPr>
              <w:t>A</w:t>
            </w:r>
            <w:r w:rsidR="00020663" w:rsidRPr="00DA4E8A">
              <w:rPr>
                <w:rFonts w:cs="Arial"/>
                <w:color w:val="000000" w:themeColor="text1"/>
                <w:shd w:val="clear" w:color="auto" w:fill="FFFFFF"/>
                <w:lang w:val="en-GB"/>
              </w:rPr>
              <w:t xml:space="preserve"> panel</w:t>
            </w:r>
            <w:r w:rsidRPr="00DA4E8A">
              <w:rPr>
                <w:rFonts w:cs="Arial"/>
                <w:color w:val="000000" w:themeColor="text1"/>
                <w:shd w:val="clear" w:color="auto" w:fill="FFFFFF"/>
                <w:lang w:val="en-GB"/>
              </w:rPr>
              <w:t xml:space="preserve"> comprising</w:t>
            </w:r>
            <w:r w:rsidR="00020663" w:rsidRPr="00DA4E8A">
              <w:rPr>
                <w:rFonts w:cs="Arial"/>
                <w:color w:val="000000" w:themeColor="text1"/>
                <w:shd w:val="clear" w:color="auto" w:fill="FFFFFF"/>
                <w:lang w:val="en-GB"/>
              </w:rPr>
              <w:t xml:space="preserve"> representatives of pension funds and sovereign wealth funds </w:t>
            </w:r>
            <w:r w:rsidRPr="00DA4E8A">
              <w:rPr>
                <w:rFonts w:cs="Arial"/>
                <w:color w:val="000000" w:themeColor="text1"/>
                <w:shd w:val="clear" w:color="auto" w:fill="FFFFFF"/>
                <w:lang w:val="en-GB"/>
              </w:rPr>
              <w:t>will discuss</w:t>
            </w:r>
            <w:r w:rsidR="00020663" w:rsidRPr="00DA4E8A">
              <w:rPr>
                <w:rFonts w:cs="Arial"/>
                <w:color w:val="000000" w:themeColor="text1"/>
                <w:shd w:val="clear" w:color="auto" w:fill="FFFFFF"/>
                <w:lang w:val="en-GB"/>
              </w:rPr>
              <w:t xml:space="preserve"> how these entities can support the growth and development of green finance.</w:t>
            </w:r>
          </w:p>
          <w:p w:rsidR="00020663" w:rsidRPr="00020663" w:rsidRDefault="00020663" w:rsidP="00020663">
            <w:pPr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020663" w:rsidRPr="00657CB3" w:rsidTr="00020663">
        <w:trPr>
          <w:trHeight w:val="677"/>
        </w:trPr>
        <w:tc>
          <w:tcPr>
            <w:tcW w:w="5000" w:type="pct"/>
          </w:tcPr>
          <w:p w:rsidR="00020663" w:rsidRPr="00153C6B" w:rsidRDefault="00020663" w:rsidP="00735D9F">
            <w:pPr>
              <w:rPr>
                <w:rFonts w:cs="Times New Roman"/>
                <w:b/>
                <w:color w:val="000000" w:themeColor="text1"/>
                <w:lang w:val="en-US"/>
              </w:rPr>
            </w:pPr>
            <w:r w:rsidRPr="00153C6B">
              <w:rPr>
                <w:rFonts w:cs="Times New Roman"/>
                <w:b/>
                <w:color w:val="000000" w:themeColor="text1"/>
                <w:lang w:val="en-US"/>
              </w:rPr>
              <w:t xml:space="preserve">SESSION 8 – </w:t>
            </w:r>
            <w:r>
              <w:rPr>
                <w:rFonts w:cs="Times New Roman"/>
                <w:b/>
                <w:color w:val="000000" w:themeColor="text1"/>
                <w:lang w:val="en-US"/>
              </w:rPr>
              <w:t>PROSPECT</w:t>
            </w:r>
            <w:r w:rsidR="00E124CA">
              <w:rPr>
                <w:rFonts w:cs="Times New Roman"/>
                <w:b/>
                <w:color w:val="000000" w:themeColor="text1"/>
                <w:lang w:val="en-US"/>
              </w:rPr>
              <w:t>S</w:t>
            </w:r>
            <w:r>
              <w:rPr>
                <w:rFonts w:cs="Times New Roman"/>
                <w:b/>
                <w:color w:val="000000" w:themeColor="text1"/>
                <w:lang w:val="en-US"/>
              </w:rPr>
              <w:t xml:space="preserve"> OF ISLAMIC GREEN FINANCE</w:t>
            </w:r>
          </w:p>
          <w:p w:rsidR="00020663" w:rsidRPr="00153C6B" w:rsidRDefault="00020663" w:rsidP="00735D9F">
            <w:pPr>
              <w:rPr>
                <w:rFonts w:cs="Times New Roman"/>
                <w:b/>
                <w:color w:val="000000" w:themeColor="text1"/>
                <w:lang w:val="en-US"/>
              </w:rPr>
            </w:pPr>
          </w:p>
          <w:p w:rsidR="00020663" w:rsidRPr="00DA4E8A" w:rsidRDefault="00020663" w:rsidP="00735D9F">
            <w:pPr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DA4E8A">
              <w:rPr>
                <w:rFonts w:cs="Times New Roman"/>
                <w:color w:val="000000" w:themeColor="text1"/>
                <w:lang w:val="en-US"/>
              </w:rPr>
              <w:t xml:space="preserve">This session will </w:t>
            </w:r>
            <w:r w:rsidR="00E124CA" w:rsidRPr="00DA4E8A">
              <w:rPr>
                <w:rFonts w:cs="Times New Roman"/>
                <w:color w:val="000000" w:themeColor="text1"/>
                <w:lang w:val="en-US"/>
              </w:rPr>
              <w:t>review</w:t>
            </w:r>
            <w:r w:rsidRPr="00DA4E8A">
              <w:rPr>
                <w:rFonts w:cs="Times New Roman"/>
                <w:color w:val="000000" w:themeColor="text1"/>
                <w:lang w:val="en-US"/>
              </w:rPr>
              <w:t xml:space="preserve"> the</w:t>
            </w:r>
            <w:r w:rsidR="00E124CA" w:rsidRPr="00DA4E8A">
              <w:rPr>
                <w:rFonts w:cs="Times New Roman"/>
                <w:color w:val="000000" w:themeColor="text1"/>
                <w:lang w:val="en-US"/>
              </w:rPr>
              <w:t xml:space="preserve"> development and prospects of</w:t>
            </w:r>
            <w:r w:rsidRPr="00DA4E8A">
              <w:rPr>
                <w:rFonts w:cs="Times New Roman"/>
                <w:color w:val="000000" w:themeColor="text1"/>
                <w:lang w:val="en-US"/>
              </w:rPr>
              <w:t xml:space="preserve"> green Islamic finance.  Experts will </w:t>
            </w:r>
            <w:r w:rsidR="00E124CA" w:rsidRPr="00DA4E8A">
              <w:rPr>
                <w:rFonts w:cs="Times New Roman"/>
                <w:color w:val="000000" w:themeColor="text1"/>
                <w:lang w:val="en-US"/>
              </w:rPr>
              <w:t xml:space="preserve">share </w:t>
            </w:r>
            <w:r w:rsidRPr="00DA4E8A">
              <w:rPr>
                <w:rFonts w:cs="Times New Roman"/>
                <w:color w:val="000000" w:themeColor="text1"/>
                <w:lang w:val="en-US"/>
              </w:rPr>
              <w:t xml:space="preserve">their perspectives on </w:t>
            </w:r>
            <w:r w:rsidR="00E124CA" w:rsidRPr="00DA4E8A">
              <w:rPr>
                <w:rFonts w:cs="Times New Roman"/>
                <w:color w:val="000000" w:themeColor="text1"/>
                <w:lang w:val="en-US"/>
              </w:rPr>
              <w:t>potential</w:t>
            </w:r>
            <w:r w:rsidRPr="00DA4E8A">
              <w:rPr>
                <w:rFonts w:cs="Times New Roman"/>
                <w:color w:val="000000" w:themeColor="text1"/>
                <w:lang w:val="en-US"/>
              </w:rPr>
              <w:t xml:space="preserve"> and existing products and platforms that could apply green Islamic finance, creating new opportunities to </w:t>
            </w:r>
            <w:r w:rsidR="00E124CA" w:rsidRPr="00DA4E8A">
              <w:rPr>
                <w:rFonts w:cs="Times New Roman"/>
                <w:color w:val="000000" w:themeColor="text1"/>
                <w:lang w:val="en-US"/>
              </w:rPr>
              <w:t>this asset class</w:t>
            </w:r>
            <w:r w:rsidRPr="00DA4E8A">
              <w:rPr>
                <w:rFonts w:cs="Times New Roman"/>
                <w:color w:val="000000" w:themeColor="text1"/>
                <w:lang w:val="en-US"/>
              </w:rPr>
              <w:t>.</w:t>
            </w:r>
          </w:p>
          <w:p w:rsidR="00020663" w:rsidRPr="001350A5" w:rsidRDefault="00020663" w:rsidP="00DA4E8A">
            <w:pPr>
              <w:pStyle w:val="ListParagraph"/>
              <w:ind w:left="360"/>
              <w:rPr>
                <w:b/>
                <w:lang w:val="en-US"/>
              </w:rPr>
            </w:pPr>
          </w:p>
        </w:tc>
      </w:tr>
    </w:tbl>
    <w:p w:rsidR="00291EC6" w:rsidRDefault="00291EC6"/>
    <w:sectPr w:rsidR="00291EC6" w:rsidSect="00A450AA">
      <w:footerReference w:type="default" r:id="rId9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7D" w:rsidRDefault="002E0A7D" w:rsidP="00F81893">
      <w:pPr>
        <w:spacing w:after="0" w:line="240" w:lineRule="auto"/>
      </w:pPr>
      <w:r>
        <w:separator/>
      </w:r>
    </w:p>
  </w:endnote>
  <w:endnote w:type="continuationSeparator" w:id="0">
    <w:p w:rsidR="002E0A7D" w:rsidRDefault="002E0A7D" w:rsidP="00F8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93" w:rsidRPr="00F81893" w:rsidRDefault="00F81893">
    <w:pPr>
      <w:pStyle w:val="Footer"/>
      <w:rPr>
        <w:i/>
        <w:sz w:val="20"/>
      </w:rPr>
    </w:pPr>
    <w:r w:rsidRPr="00F81893">
      <w:rPr>
        <w:i/>
        <w:sz w:val="20"/>
      </w:rPr>
      <w:t>Programme is subject to change</w:t>
    </w:r>
  </w:p>
  <w:p w:rsidR="00F81893" w:rsidRDefault="00F81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7D" w:rsidRDefault="002E0A7D" w:rsidP="00F81893">
      <w:pPr>
        <w:spacing w:after="0" w:line="240" w:lineRule="auto"/>
      </w:pPr>
      <w:r>
        <w:separator/>
      </w:r>
    </w:p>
  </w:footnote>
  <w:footnote w:type="continuationSeparator" w:id="0">
    <w:p w:rsidR="002E0A7D" w:rsidRDefault="002E0A7D" w:rsidP="00F8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F4A"/>
    <w:multiLevelType w:val="hybridMultilevel"/>
    <w:tmpl w:val="8F5C39D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7D4FD3"/>
    <w:multiLevelType w:val="hybridMultilevel"/>
    <w:tmpl w:val="800481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1355C"/>
    <w:multiLevelType w:val="hybridMultilevel"/>
    <w:tmpl w:val="464E727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8C9478">
      <w:numFmt w:val="bullet"/>
      <w:lvlText w:val="•"/>
      <w:lvlJc w:val="left"/>
      <w:pPr>
        <w:ind w:left="1080" w:hanging="360"/>
      </w:pPr>
      <w:rPr>
        <w:rFonts w:asciiTheme="minorHAnsi" w:eastAsiaTheme="minorHAnsi" w:hAnsiTheme="minorHAnsi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6D08DD"/>
    <w:multiLevelType w:val="hybridMultilevel"/>
    <w:tmpl w:val="C3C61FEE"/>
    <w:lvl w:ilvl="0" w:tplc="9A46FEB4">
      <w:start w:val="1"/>
      <w:numFmt w:val="upperLetter"/>
      <w:lvlText w:val="%1)"/>
      <w:lvlJc w:val="left"/>
      <w:pPr>
        <w:ind w:left="492" w:hanging="492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35801"/>
    <w:multiLevelType w:val="hybridMultilevel"/>
    <w:tmpl w:val="A45E2A3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0D64B2"/>
    <w:multiLevelType w:val="hybridMultilevel"/>
    <w:tmpl w:val="A5E4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6E"/>
    <w:rsid w:val="00020663"/>
    <w:rsid w:val="00043D18"/>
    <w:rsid w:val="00055AE3"/>
    <w:rsid w:val="00061370"/>
    <w:rsid w:val="000F347A"/>
    <w:rsid w:val="001429F4"/>
    <w:rsid w:val="00152553"/>
    <w:rsid w:val="001D2751"/>
    <w:rsid w:val="00223710"/>
    <w:rsid w:val="00291EC6"/>
    <w:rsid w:val="002B4B02"/>
    <w:rsid w:val="002E0A7D"/>
    <w:rsid w:val="003151C8"/>
    <w:rsid w:val="00324D1A"/>
    <w:rsid w:val="00351414"/>
    <w:rsid w:val="0036242F"/>
    <w:rsid w:val="00362EFA"/>
    <w:rsid w:val="00380EC8"/>
    <w:rsid w:val="00386093"/>
    <w:rsid w:val="003A0AB2"/>
    <w:rsid w:val="003A13BA"/>
    <w:rsid w:val="003A7B1B"/>
    <w:rsid w:val="003B20F5"/>
    <w:rsid w:val="003D69F8"/>
    <w:rsid w:val="003F5652"/>
    <w:rsid w:val="004200B1"/>
    <w:rsid w:val="00435AEC"/>
    <w:rsid w:val="004A0249"/>
    <w:rsid w:val="004F52B9"/>
    <w:rsid w:val="00522A27"/>
    <w:rsid w:val="0052755E"/>
    <w:rsid w:val="006074E5"/>
    <w:rsid w:val="006317AA"/>
    <w:rsid w:val="006B2FE2"/>
    <w:rsid w:val="006E054B"/>
    <w:rsid w:val="006E056E"/>
    <w:rsid w:val="00747153"/>
    <w:rsid w:val="00765BF5"/>
    <w:rsid w:val="007E1AF0"/>
    <w:rsid w:val="00886693"/>
    <w:rsid w:val="009C4020"/>
    <w:rsid w:val="009D2394"/>
    <w:rsid w:val="00A0188E"/>
    <w:rsid w:val="00A72FAB"/>
    <w:rsid w:val="00AE169D"/>
    <w:rsid w:val="00AF12AF"/>
    <w:rsid w:val="00B03292"/>
    <w:rsid w:val="00B227BB"/>
    <w:rsid w:val="00BE2601"/>
    <w:rsid w:val="00C0466D"/>
    <w:rsid w:val="00C25373"/>
    <w:rsid w:val="00C5240E"/>
    <w:rsid w:val="00C9243B"/>
    <w:rsid w:val="00CC2C0C"/>
    <w:rsid w:val="00D4096D"/>
    <w:rsid w:val="00DA4E8A"/>
    <w:rsid w:val="00E124CA"/>
    <w:rsid w:val="00E13AC5"/>
    <w:rsid w:val="00E572AC"/>
    <w:rsid w:val="00E65632"/>
    <w:rsid w:val="00EC5D46"/>
    <w:rsid w:val="00F03796"/>
    <w:rsid w:val="00F56C51"/>
    <w:rsid w:val="00F81893"/>
    <w:rsid w:val="00F8740A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6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5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E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5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056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3"/>
  </w:style>
  <w:style w:type="paragraph" w:styleId="Footer">
    <w:name w:val="footer"/>
    <w:basedOn w:val="Normal"/>
    <w:link w:val="FooterChar"/>
    <w:uiPriority w:val="99"/>
    <w:unhideWhenUsed/>
    <w:rsid w:val="00F8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6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5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E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5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056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3"/>
  </w:style>
  <w:style w:type="paragraph" w:styleId="Footer">
    <w:name w:val="footer"/>
    <w:basedOn w:val="Normal"/>
    <w:link w:val="FooterChar"/>
    <w:uiPriority w:val="99"/>
    <w:unhideWhenUsed/>
    <w:rsid w:val="00F8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Hasfa Reny Abd Hamid</dc:creator>
  <cp:lastModifiedBy>SCM</cp:lastModifiedBy>
  <cp:revision>6</cp:revision>
  <dcterms:created xsi:type="dcterms:W3CDTF">2018-03-29T06:13:00Z</dcterms:created>
  <dcterms:modified xsi:type="dcterms:W3CDTF">2018-03-29T06:16:00Z</dcterms:modified>
</cp:coreProperties>
</file>